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9E7B" w14:textId="77777777" w:rsidR="000C25A5" w:rsidRDefault="000C25A5" w:rsidP="000C25A5">
      <w:pPr>
        <w:rPr>
          <w:lang w:eastAsia="ja-JP"/>
        </w:rPr>
      </w:pPr>
    </w:p>
    <w:p w14:paraId="4F22C5E6" w14:textId="77777777" w:rsidR="000C25A5" w:rsidRDefault="000C25A5" w:rsidP="000C25A5">
      <w:pPr>
        <w:rPr>
          <w:lang w:eastAsia="ja-JP"/>
        </w:rPr>
      </w:pPr>
    </w:p>
    <w:p w14:paraId="040EF401" w14:textId="77777777" w:rsidR="000C25A5" w:rsidRPr="00AB3115" w:rsidRDefault="00F16692" w:rsidP="00F16692">
      <w:pPr>
        <w:tabs>
          <w:tab w:val="left" w:pos="7760"/>
        </w:tabs>
        <w:rPr>
          <w:lang w:eastAsia="ja-JP"/>
        </w:rPr>
      </w:pPr>
      <w:r>
        <w:rPr>
          <w:lang w:eastAsia="ja-JP"/>
        </w:rPr>
        <w:tab/>
      </w:r>
    </w:p>
    <w:p w14:paraId="4CB38FF9" w14:textId="77777777" w:rsidR="000C25A5" w:rsidRDefault="000C25A5" w:rsidP="000C25A5">
      <w:pPr>
        <w:pStyle w:val="Series"/>
      </w:pPr>
      <w:r>
        <w:t>Safeguard Mechanism reform consultation</w:t>
      </w:r>
      <w:r w:rsidR="00AB3115">
        <w:t xml:space="preserve"> -</w:t>
      </w:r>
      <w:r>
        <w:t xml:space="preserve"> factsheet 8</w:t>
      </w:r>
    </w:p>
    <w:p w14:paraId="1FA7137C" w14:textId="77777777" w:rsidR="000C25A5" w:rsidRDefault="000C25A5" w:rsidP="000C25A5">
      <w:pPr>
        <w:pStyle w:val="Series"/>
        <w:spacing w:before="40"/>
        <w:rPr>
          <w:color w:val="197C7D"/>
          <w:sz w:val="24"/>
          <w:szCs w:val="24"/>
        </w:rPr>
      </w:pPr>
      <w:r>
        <w:rPr>
          <w:color w:val="197C7D"/>
          <w:sz w:val="24"/>
          <w:szCs w:val="24"/>
        </w:rPr>
        <w:t>January 2023</w:t>
      </w:r>
    </w:p>
    <w:p w14:paraId="67A32F39" w14:textId="77777777" w:rsidR="00B82095" w:rsidRPr="00AB3115" w:rsidRDefault="00001A84">
      <w:pPr>
        <w:pStyle w:val="Heading1"/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</w:pPr>
      <w:r w:rsidRPr="00AB3115">
        <w:rPr>
          <w:rFonts w:eastAsiaTheme="minorEastAsia"/>
          <w:color w:val="197C7D" w:themeColor="text2"/>
          <w:spacing w:val="0"/>
          <w:kern w:val="0"/>
          <w:sz w:val="36"/>
          <w:szCs w:val="36"/>
          <w:lang w:eastAsia="ja-JP"/>
        </w:rPr>
        <w:t>Emissions-intensive, trade-exposed facilities</w:t>
      </w:r>
    </w:p>
    <w:p w14:paraId="7A5779DE" w14:textId="77777777" w:rsidR="00943779" w:rsidRDefault="0041139E" w:rsidP="00A8157A">
      <w:pPr>
        <w:pStyle w:val="Heading2"/>
      </w:pPr>
      <w:r>
        <w:t xml:space="preserve">What are </w:t>
      </w:r>
      <w:r w:rsidR="006033BA">
        <w:t xml:space="preserve">EITEs and why </w:t>
      </w:r>
      <w:r w:rsidR="00050116">
        <w:t xml:space="preserve">do they </w:t>
      </w:r>
      <w:r w:rsidR="00441C3E">
        <w:t>need</w:t>
      </w:r>
      <w:r w:rsidR="006033BA">
        <w:t xml:space="preserve"> support</w:t>
      </w:r>
      <w:r>
        <w:t>?</w:t>
      </w:r>
    </w:p>
    <w:p w14:paraId="08EB2387" w14:textId="77777777" w:rsidR="000C4558" w:rsidRDefault="00527EE7">
      <w:r>
        <w:t xml:space="preserve">Emissions-intensive, trade-exposed </w:t>
      </w:r>
      <w:r w:rsidR="007322EE">
        <w:t xml:space="preserve">(EITE) </w:t>
      </w:r>
      <w:r>
        <w:t>facilities</w:t>
      </w:r>
      <w:r w:rsidR="00AD69AC">
        <w:t xml:space="preserve"> </w:t>
      </w:r>
      <w:r w:rsidR="00EE031E">
        <w:t>undertake emissions</w:t>
      </w:r>
      <w:r w:rsidR="005F5A87">
        <w:t>-</w:t>
      </w:r>
      <w:r w:rsidR="00EE031E">
        <w:t>intensive production activities</w:t>
      </w:r>
      <w:r w:rsidR="008B548B">
        <w:t xml:space="preserve"> and </w:t>
      </w:r>
      <w:r>
        <w:t xml:space="preserve">face </w:t>
      </w:r>
      <w:r w:rsidR="0069066D">
        <w:t xml:space="preserve">competition </w:t>
      </w:r>
      <w:r w:rsidR="009337B4">
        <w:t>–</w:t>
      </w:r>
      <w:r w:rsidR="00940316">
        <w:t xml:space="preserve"> </w:t>
      </w:r>
      <w:r w:rsidR="0069066D">
        <w:t>in Australian or export markets</w:t>
      </w:r>
      <w:r w:rsidR="00940316">
        <w:t xml:space="preserve"> </w:t>
      </w:r>
      <w:r w:rsidR="009337B4">
        <w:t>–</w:t>
      </w:r>
      <w:r w:rsidR="00940316">
        <w:t xml:space="preserve"> from goods produced overseas</w:t>
      </w:r>
      <w:r w:rsidR="008B548B">
        <w:t xml:space="preserve">. </w:t>
      </w:r>
      <w:r w:rsidR="007B6E66">
        <w:t xml:space="preserve">As a result, </w:t>
      </w:r>
      <w:r w:rsidR="00902027">
        <w:t>EITEs</w:t>
      </w:r>
      <w:r w:rsidR="000C25A5">
        <w:t xml:space="preserve"> </w:t>
      </w:r>
      <w:r w:rsidR="008B548B">
        <w:t xml:space="preserve">may </w:t>
      </w:r>
      <w:r w:rsidR="00637A67">
        <w:t>have more difficulty managing their emissions reductions</w:t>
      </w:r>
      <w:r w:rsidR="008B548B">
        <w:t>,</w:t>
      </w:r>
      <w:r>
        <w:t xml:space="preserve"> because the price of </w:t>
      </w:r>
      <w:r w:rsidR="008B548B">
        <w:t xml:space="preserve">their </w:t>
      </w:r>
      <w:r w:rsidR="0069066D">
        <w:t>goods</w:t>
      </w:r>
      <w:r>
        <w:t xml:space="preserve"> are set in global markets. </w:t>
      </w:r>
    </w:p>
    <w:p w14:paraId="3FBE987B" w14:textId="77777777" w:rsidR="0041139E" w:rsidRDefault="000C25A5" w:rsidP="0041139E">
      <w:r>
        <w:t>Funding</w:t>
      </w:r>
      <w:r w:rsidRPr="0091564C">
        <w:t xml:space="preserve"> </w:t>
      </w:r>
      <w:r>
        <w:t>support</w:t>
      </w:r>
      <w:r w:rsidRPr="0091564C">
        <w:t xml:space="preserve"> </w:t>
      </w:r>
      <w:r>
        <w:t>would help create a level</w:t>
      </w:r>
      <w:r w:rsidR="005F59BC">
        <w:t>-</w:t>
      </w:r>
      <w:r>
        <w:t>playing field for Australian</w:t>
      </w:r>
      <w:r w:rsidRPr="0091564C">
        <w:t xml:space="preserve"> EITEs </w:t>
      </w:r>
      <w:r>
        <w:t>and</w:t>
      </w:r>
      <w:r w:rsidRPr="0091564C">
        <w:t xml:space="preserve"> </w:t>
      </w:r>
      <w:r>
        <w:t>prevent</w:t>
      </w:r>
      <w:r w:rsidRPr="0091564C">
        <w:t xml:space="preserve"> </w:t>
      </w:r>
      <w:r>
        <w:t>domestic</w:t>
      </w:r>
      <w:r w:rsidRPr="0091564C">
        <w:t xml:space="preserve"> </w:t>
      </w:r>
      <w:r>
        <w:t>production</w:t>
      </w:r>
      <w:r w:rsidRPr="0091564C">
        <w:t xml:space="preserve"> </w:t>
      </w:r>
      <w:r>
        <w:t xml:space="preserve">from moving to countries with </w:t>
      </w:r>
      <w:r w:rsidR="005F59BC">
        <w:t>weaker</w:t>
      </w:r>
      <w:r>
        <w:t xml:space="preserve"> emissions reduction requirements. </w:t>
      </w:r>
      <w:r w:rsidR="008352B3">
        <w:t xml:space="preserve">It would also help </w:t>
      </w:r>
      <w:r w:rsidR="00527EE7">
        <w:t xml:space="preserve">prevent </w:t>
      </w:r>
      <w:r w:rsidR="008352B3">
        <w:t xml:space="preserve">carbon leakage, a situation where </w:t>
      </w:r>
      <w:r w:rsidR="005F59BC">
        <w:t xml:space="preserve">the shift of </w:t>
      </w:r>
      <w:r w:rsidR="00527EE7">
        <w:t xml:space="preserve">domestic production to </w:t>
      </w:r>
      <w:r w:rsidR="008352B3">
        <w:t xml:space="preserve">countries </w:t>
      </w:r>
      <w:r w:rsidR="00527EE7">
        <w:t>with</w:t>
      </w:r>
      <w:r w:rsidR="008352B3">
        <w:t xml:space="preserve"> weaker</w:t>
      </w:r>
      <w:r w:rsidR="00527EE7">
        <w:t xml:space="preserve"> emissions reduction </w:t>
      </w:r>
      <w:r w:rsidR="008352B3">
        <w:t>requirements</w:t>
      </w:r>
      <w:r w:rsidR="005F59BC">
        <w:t xml:space="preserve"> </w:t>
      </w:r>
      <w:r w:rsidR="00605445">
        <w:t>lead</w:t>
      </w:r>
      <w:r w:rsidR="005F59BC">
        <w:t>s</w:t>
      </w:r>
      <w:r w:rsidR="00605445">
        <w:t xml:space="preserve"> to </w:t>
      </w:r>
      <w:r w:rsidR="00527EE7">
        <w:t>increase</w:t>
      </w:r>
      <w:r w:rsidR="00605445">
        <w:t>d</w:t>
      </w:r>
      <w:r w:rsidR="00527EE7">
        <w:t xml:space="preserve"> global emissions. </w:t>
      </w:r>
      <w:r w:rsidR="008010E9">
        <w:t xml:space="preserve">Many international emissions reduction schemes include support or concessions for facilities producing EITE products. </w:t>
      </w:r>
    </w:p>
    <w:p w14:paraId="0DEC877F" w14:textId="77777777" w:rsidR="00310CEA" w:rsidRDefault="00310CEA" w:rsidP="00310CEA">
      <w:pPr>
        <w:pStyle w:val="Heading2"/>
      </w:pPr>
      <w:r>
        <w:t>How are EITEs defined under the Safeguard Mechanism?</w:t>
      </w:r>
    </w:p>
    <w:p w14:paraId="4616BA53" w14:textId="77777777" w:rsidR="00480B3D" w:rsidRDefault="00480B3D" w:rsidP="00480B3D">
      <w:r>
        <w:t xml:space="preserve">Under the proposed reforms to the Safeguard Mechanism, </w:t>
      </w:r>
      <w:r w:rsidR="00637A67">
        <w:t xml:space="preserve">two </w:t>
      </w:r>
      <w:r w:rsidR="00BD715F">
        <w:t>categories of facilities w</w:t>
      </w:r>
      <w:r w:rsidR="00F85A60">
        <w:t>ould</w:t>
      </w:r>
      <w:r w:rsidR="00BD715F">
        <w:t xml:space="preserve"> be assisted to </w:t>
      </w:r>
      <w:r w:rsidR="0002149F">
        <w:t xml:space="preserve">maintain </w:t>
      </w:r>
      <w:r w:rsidR="00BD715F">
        <w:t xml:space="preserve">competitiveness and </w:t>
      </w:r>
      <w:r w:rsidR="0002149F">
        <w:t xml:space="preserve">reduce </w:t>
      </w:r>
      <w:r w:rsidR="00BD715F">
        <w:t>carbon leakage risks.</w:t>
      </w:r>
    </w:p>
    <w:p w14:paraId="70F6DBEA" w14:textId="77777777" w:rsidR="002857DD" w:rsidRPr="002857DD" w:rsidRDefault="004C5F8C" w:rsidP="00A7755E">
      <w:pPr>
        <w:pStyle w:val="ListParagraph"/>
        <w:numPr>
          <w:ilvl w:val="0"/>
          <w:numId w:val="46"/>
        </w:numPr>
        <w:ind w:left="714" w:hanging="357"/>
        <w:contextualSpacing w:val="0"/>
        <w:rPr>
          <w:b/>
        </w:rPr>
      </w:pPr>
      <w:r w:rsidRPr="00BD715F">
        <w:rPr>
          <w:b/>
        </w:rPr>
        <w:t>Trade</w:t>
      </w:r>
      <w:r w:rsidR="005F5A87">
        <w:rPr>
          <w:b/>
        </w:rPr>
        <w:t>-</w:t>
      </w:r>
      <w:r w:rsidR="00BF3F66">
        <w:rPr>
          <w:b/>
        </w:rPr>
        <w:t>E</w:t>
      </w:r>
      <w:r w:rsidRPr="00BD715F">
        <w:rPr>
          <w:b/>
        </w:rPr>
        <w:t>xposed</w:t>
      </w:r>
      <w:r w:rsidR="00BD715F" w:rsidRPr="00BD715F">
        <w:rPr>
          <w:b/>
        </w:rPr>
        <w:t xml:space="preserve"> facilities</w:t>
      </w:r>
      <w:r w:rsidR="00BD715F">
        <w:rPr>
          <w:b/>
        </w:rPr>
        <w:t xml:space="preserve">: </w:t>
      </w:r>
      <w:r w:rsidR="009337B4">
        <w:t>F</w:t>
      </w:r>
      <w:r w:rsidR="00BD715F">
        <w:t>acilities that undertake activities relating to products identified</w:t>
      </w:r>
      <w:r w:rsidR="0002149F">
        <w:t xml:space="preserve"> as trade</w:t>
      </w:r>
      <w:r w:rsidR="005F5A87">
        <w:t>-</w:t>
      </w:r>
      <w:r w:rsidR="0002149F">
        <w:t>exposed</w:t>
      </w:r>
      <w:r w:rsidR="00BD715F">
        <w:t xml:space="preserve"> in the draft</w:t>
      </w:r>
      <w:r w:rsidR="00BF3F66">
        <w:t xml:space="preserve"> Safeguard</w:t>
      </w:r>
      <w:r w:rsidR="00BD715F">
        <w:t xml:space="preserve"> Rule. T</w:t>
      </w:r>
      <w:r w:rsidR="0002149F">
        <w:t xml:space="preserve">hese </w:t>
      </w:r>
      <w:r w:rsidR="00BD715F">
        <w:t xml:space="preserve">activities </w:t>
      </w:r>
      <w:r w:rsidR="0002149F">
        <w:t xml:space="preserve">had </w:t>
      </w:r>
      <w:r w:rsidR="00BD715F">
        <w:t>a trade share above 10% during 2016</w:t>
      </w:r>
      <w:r w:rsidR="009337B4">
        <w:t>–</w:t>
      </w:r>
      <w:r w:rsidR="00BD715F">
        <w:t>17 to 2019</w:t>
      </w:r>
      <w:r w:rsidR="009337B4">
        <w:t>–</w:t>
      </w:r>
      <w:r w:rsidR="00BD715F">
        <w:t>20.</w:t>
      </w:r>
      <w:r w:rsidR="00BD715F">
        <w:rPr>
          <w:rStyle w:val="FootnoteReference"/>
        </w:rPr>
        <w:footnoteReference w:id="2"/>
      </w:r>
      <w:r w:rsidR="00BD715F">
        <w:t xml:space="preserve"> </w:t>
      </w:r>
    </w:p>
    <w:p w14:paraId="495F9113" w14:textId="0F398828" w:rsidR="00310CEA" w:rsidRDefault="002857DD" w:rsidP="00F85A60">
      <w:pPr>
        <w:pStyle w:val="ListParagraph"/>
        <w:numPr>
          <w:ilvl w:val="0"/>
          <w:numId w:val="46"/>
        </w:numPr>
        <w:ind w:left="714" w:hanging="357"/>
        <w:contextualSpacing w:val="0"/>
      </w:pPr>
      <w:r w:rsidRPr="002857DD">
        <w:rPr>
          <w:b/>
        </w:rPr>
        <w:t>Trade</w:t>
      </w:r>
      <w:r w:rsidR="005F5A87">
        <w:rPr>
          <w:b/>
        </w:rPr>
        <w:t>-</w:t>
      </w:r>
      <w:r w:rsidRPr="002857DD">
        <w:rPr>
          <w:b/>
        </w:rPr>
        <w:t xml:space="preserve">Exposed Baseline Adjusted </w:t>
      </w:r>
      <w:r w:rsidR="0002149F">
        <w:rPr>
          <w:b/>
        </w:rPr>
        <w:t xml:space="preserve">(TEBA) </w:t>
      </w:r>
      <w:r w:rsidRPr="002857DD">
        <w:rPr>
          <w:b/>
        </w:rPr>
        <w:t>facilities</w:t>
      </w:r>
      <w:r>
        <w:rPr>
          <w:b/>
        </w:rPr>
        <w:t>:</w:t>
      </w:r>
      <w:r w:rsidRPr="002857DD">
        <w:rPr>
          <w:b/>
        </w:rPr>
        <w:t xml:space="preserve"> </w:t>
      </w:r>
      <w:r w:rsidR="009337B4">
        <w:t>T</w:t>
      </w:r>
      <w:r w:rsidR="00070BBF">
        <w:t>he subset of trade</w:t>
      </w:r>
      <w:r w:rsidR="005F5A87">
        <w:t>-</w:t>
      </w:r>
      <w:r w:rsidR="00070BBF">
        <w:t>exposed</w:t>
      </w:r>
      <w:r w:rsidR="0002149F">
        <w:t xml:space="preserve"> </w:t>
      </w:r>
      <w:r>
        <w:t>facilities with an elevated risk of carbon leakage</w:t>
      </w:r>
      <w:r w:rsidR="00363386">
        <w:t>, where t</w:t>
      </w:r>
      <w:r>
        <w:t>he</w:t>
      </w:r>
      <w:r w:rsidR="0002149F">
        <w:t xml:space="preserve"> impact from the reformed scheme exceed</w:t>
      </w:r>
      <w:r w:rsidR="00363386">
        <w:t>s</w:t>
      </w:r>
      <w:r w:rsidR="0002149F">
        <w:t xml:space="preserve"> a threshold. </w:t>
      </w:r>
    </w:p>
    <w:p w14:paraId="724D637C" w14:textId="2D292938" w:rsidR="003F2432" w:rsidRDefault="003F2432" w:rsidP="00DA7636">
      <w:pPr>
        <w:pStyle w:val="ListParagraph"/>
        <w:ind w:left="714"/>
        <w:contextualSpacing w:val="0"/>
      </w:pPr>
      <w:r>
        <w:t xml:space="preserve">The proposed impact metric is the scheme cost divided by revenue for that facility. </w:t>
      </w:r>
      <w:r w:rsidR="00FC1233">
        <w:t>It is a simple transparent metric that can be readily calculated</w:t>
      </w:r>
      <w:r w:rsidR="00070BBF">
        <w:t>,</w:t>
      </w:r>
      <w:r w:rsidR="00FC1233">
        <w:t xml:space="preserve"> and provides a strong indicator of the risk of carbon leakage for a particular facility.</w:t>
      </w:r>
    </w:p>
    <w:p w14:paraId="1DEE873B" w14:textId="77777777" w:rsidR="003F2432" w:rsidRDefault="00B0701E" w:rsidP="009641D2">
      <w:pPr>
        <w:ind w:left="720"/>
      </w:pPr>
      <w:r>
        <w:t>Scheme costs for a financial year will be determined by the facility’s exceedance, multiplied by the Safeguard Mechanism default certificate price</w:t>
      </w:r>
      <w:r w:rsidR="0002149F">
        <w:t xml:space="preserve">. The default certificate price </w:t>
      </w:r>
      <w:r w:rsidR="003D74B7">
        <w:t>estimate</w:t>
      </w:r>
      <w:r w:rsidR="00070BBF">
        <w:t xml:space="preserve">s </w:t>
      </w:r>
      <w:r w:rsidR="003D74B7">
        <w:t xml:space="preserve">the price </w:t>
      </w:r>
      <w:r>
        <w:t xml:space="preserve">Safeguard facilities </w:t>
      </w:r>
      <w:r w:rsidR="0002149F">
        <w:t xml:space="preserve">would </w:t>
      </w:r>
      <w:r w:rsidR="003D74B7">
        <w:t xml:space="preserve">face if they </w:t>
      </w:r>
      <w:r>
        <w:t>purchase</w:t>
      </w:r>
      <w:r w:rsidR="0002149F">
        <w:t>d</w:t>
      </w:r>
      <w:r>
        <w:t xml:space="preserve"> certificates during the compliance period.</w:t>
      </w:r>
    </w:p>
    <w:p w14:paraId="1B73B780" w14:textId="77777777" w:rsidR="002D5A07" w:rsidRDefault="002D5A07" w:rsidP="0041139E">
      <w:pPr>
        <w:pStyle w:val="Heading2"/>
      </w:pPr>
    </w:p>
    <w:p w14:paraId="363C9354" w14:textId="77777777" w:rsidR="002D5A07" w:rsidRDefault="002D5A07" w:rsidP="0041139E">
      <w:pPr>
        <w:pStyle w:val="Heading2"/>
      </w:pPr>
    </w:p>
    <w:p w14:paraId="62C6AD96" w14:textId="41535DA6" w:rsidR="0041139E" w:rsidRDefault="00AA381B" w:rsidP="0041139E">
      <w:pPr>
        <w:pStyle w:val="Heading2"/>
      </w:pPr>
      <w:r>
        <w:t xml:space="preserve">What support will </w:t>
      </w:r>
      <w:r w:rsidR="009F4025">
        <w:t xml:space="preserve">be available to </w:t>
      </w:r>
      <w:r w:rsidR="0041139E">
        <w:t>EITEs?</w:t>
      </w:r>
    </w:p>
    <w:p w14:paraId="7AFE3472" w14:textId="77777777" w:rsidR="00B10119" w:rsidRPr="00B10119" w:rsidRDefault="00B10119" w:rsidP="0039724E">
      <w:pPr>
        <w:rPr>
          <w:b/>
        </w:rPr>
      </w:pPr>
      <w:r>
        <w:rPr>
          <w:b/>
        </w:rPr>
        <w:t>Access to funding support for decarbonisation activities</w:t>
      </w:r>
    </w:p>
    <w:p w14:paraId="052EFB45" w14:textId="77777777" w:rsidR="007C15EE" w:rsidRDefault="00BF3F66" w:rsidP="0039724E">
      <w:pPr>
        <w:rPr>
          <w:lang w:val="en-GB"/>
        </w:rPr>
      </w:pPr>
      <w:r>
        <w:t>‘</w:t>
      </w:r>
      <w:r w:rsidR="00956398">
        <w:t>Trade</w:t>
      </w:r>
      <w:r w:rsidR="005F5A87">
        <w:t>-</w:t>
      </w:r>
      <w:r>
        <w:t>E</w:t>
      </w:r>
      <w:r w:rsidR="00956398">
        <w:t>xposed facilities</w:t>
      </w:r>
      <w:r>
        <w:t>’</w:t>
      </w:r>
      <w:r w:rsidR="00956398">
        <w:t xml:space="preserve"> will have</w:t>
      </w:r>
      <w:r w:rsidR="00D47430">
        <w:t xml:space="preserve"> exclusive</w:t>
      </w:r>
      <w:r w:rsidR="00956398">
        <w:t xml:space="preserve"> access to </w:t>
      </w:r>
      <w:r w:rsidR="00956398">
        <w:rPr>
          <w:lang w:val="en-GB"/>
        </w:rPr>
        <w:t xml:space="preserve">a dedicated $600 million Safeguard Transformation Stream </w:t>
      </w:r>
      <w:r w:rsidR="009337B4">
        <w:rPr>
          <w:lang w:val="en-GB"/>
        </w:rPr>
        <w:t>(STS) of</w:t>
      </w:r>
      <w:r w:rsidR="00956398">
        <w:rPr>
          <w:lang w:val="en-GB"/>
        </w:rPr>
        <w:t xml:space="preserve"> the Powering the Regions Fund (PRF). </w:t>
      </w:r>
    </w:p>
    <w:p w14:paraId="766A314C" w14:textId="77777777" w:rsidR="007C15EE" w:rsidRDefault="00956398" w:rsidP="0039724E">
      <w:pPr>
        <w:rPr>
          <w:lang w:val="en-GB"/>
        </w:rPr>
      </w:pPr>
      <w:r>
        <w:rPr>
          <w:lang w:val="en-GB"/>
        </w:rPr>
        <w:t>This will be a grants program linked to the reformed Safeguard Mechanism. It will provide a range of funding opportunities to support on-site decarbonisa</w:t>
      </w:r>
      <w:r w:rsidR="008944CE">
        <w:rPr>
          <w:lang w:val="en-GB"/>
        </w:rPr>
        <w:t>tion activities on a technology-</w:t>
      </w:r>
      <w:r>
        <w:rPr>
          <w:lang w:val="en-GB"/>
        </w:rPr>
        <w:t xml:space="preserve">neutral basis. </w:t>
      </w:r>
    </w:p>
    <w:p w14:paraId="62F22964" w14:textId="77777777" w:rsidR="0039724E" w:rsidRDefault="008944CE" w:rsidP="0039724E">
      <w:pPr>
        <w:rPr>
          <w:lang w:val="en-GB"/>
        </w:rPr>
      </w:pPr>
      <w:r>
        <w:rPr>
          <w:lang w:val="en-GB"/>
        </w:rPr>
        <w:t>Where relevant, a</w:t>
      </w:r>
      <w:r w:rsidR="0039724E">
        <w:rPr>
          <w:lang w:val="en-GB"/>
        </w:rPr>
        <w:t xml:space="preserve">ll Safeguard facilities will </w:t>
      </w:r>
      <w:r w:rsidR="00D80AAC">
        <w:rPr>
          <w:lang w:val="en-GB"/>
        </w:rPr>
        <w:t xml:space="preserve">also </w:t>
      </w:r>
      <w:r w:rsidR="0039724E">
        <w:rPr>
          <w:lang w:val="en-GB"/>
        </w:rPr>
        <w:t xml:space="preserve">have preferential access to the remaining PRF funding outside of the </w:t>
      </w:r>
      <w:r w:rsidR="009337B4">
        <w:rPr>
          <w:lang w:val="en-GB"/>
        </w:rPr>
        <w:t>STS</w:t>
      </w:r>
      <w:r w:rsidR="0039724E">
        <w:rPr>
          <w:lang w:val="en-GB"/>
        </w:rPr>
        <w:t>,</w:t>
      </w:r>
      <w:r w:rsidR="00212782">
        <w:rPr>
          <w:lang w:val="en-GB"/>
        </w:rPr>
        <w:t xml:space="preserve"> </w:t>
      </w:r>
      <w:r w:rsidR="0039724E">
        <w:rPr>
          <w:lang w:val="en-GB"/>
        </w:rPr>
        <w:t xml:space="preserve">as well as continued access to other sources of finance such as </w:t>
      </w:r>
      <w:r w:rsidR="00525D30">
        <w:rPr>
          <w:lang w:val="en-GB"/>
        </w:rPr>
        <w:t>the Australian Renewable Energy Agency</w:t>
      </w:r>
      <w:r w:rsidR="0039724E">
        <w:rPr>
          <w:lang w:val="en-GB"/>
        </w:rPr>
        <w:t>, the National Reconstruction Fund and the C</w:t>
      </w:r>
      <w:r>
        <w:rPr>
          <w:lang w:val="en-GB"/>
        </w:rPr>
        <w:t xml:space="preserve">lean </w:t>
      </w:r>
      <w:r w:rsidR="0039724E">
        <w:rPr>
          <w:lang w:val="en-GB"/>
        </w:rPr>
        <w:t>E</w:t>
      </w:r>
      <w:r>
        <w:rPr>
          <w:lang w:val="en-GB"/>
        </w:rPr>
        <w:t xml:space="preserve">nergy </w:t>
      </w:r>
      <w:r w:rsidR="0039724E">
        <w:rPr>
          <w:lang w:val="en-GB"/>
        </w:rPr>
        <w:t>F</w:t>
      </w:r>
      <w:r>
        <w:rPr>
          <w:lang w:val="en-GB"/>
        </w:rPr>
        <w:t xml:space="preserve">inance </w:t>
      </w:r>
      <w:r w:rsidR="0039724E">
        <w:rPr>
          <w:lang w:val="en-GB"/>
        </w:rPr>
        <w:t>C</w:t>
      </w:r>
      <w:r>
        <w:rPr>
          <w:lang w:val="en-GB"/>
        </w:rPr>
        <w:t>orporation</w:t>
      </w:r>
      <w:r w:rsidR="0039724E">
        <w:rPr>
          <w:lang w:val="en-GB"/>
        </w:rPr>
        <w:t>.</w:t>
      </w:r>
    </w:p>
    <w:p w14:paraId="7F2ADA09" w14:textId="77777777" w:rsidR="00B10119" w:rsidRPr="00B10119" w:rsidRDefault="00B10119" w:rsidP="0039724E">
      <w:pPr>
        <w:rPr>
          <w:b/>
          <w:lang w:val="en-GB"/>
        </w:rPr>
      </w:pPr>
      <w:r w:rsidRPr="00B10119">
        <w:rPr>
          <w:b/>
          <w:lang w:val="en-GB"/>
        </w:rPr>
        <w:t>Differentiated declining baselines</w:t>
      </w:r>
    </w:p>
    <w:p w14:paraId="29FB7D03" w14:textId="77777777" w:rsidR="007C15EE" w:rsidRPr="00F515C0" w:rsidRDefault="00D80AAC" w:rsidP="007C15EE">
      <w:pPr>
        <w:rPr>
          <w:lang w:val="en-GB"/>
        </w:rPr>
      </w:pPr>
      <w:r>
        <w:t xml:space="preserve">In </w:t>
      </w:r>
      <w:r>
        <w:rPr>
          <w:lang w:val="en-GB"/>
        </w:rPr>
        <w:t xml:space="preserve">addition to access to the </w:t>
      </w:r>
      <w:r w:rsidR="009337B4">
        <w:rPr>
          <w:lang w:val="en-GB"/>
        </w:rPr>
        <w:t>STS</w:t>
      </w:r>
      <w:r>
        <w:rPr>
          <w:lang w:val="en-GB"/>
        </w:rPr>
        <w:t>,</w:t>
      </w:r>
      <w:r>
        <w:t xml:space="preserve"> f</w:t>
      </w:r>
      <w:r w:rsidR="007C15EE">
        <w:t>acilities qualify</w:t>
      </w:r>
      <w:r>
        <w:t>ing</w:t>
      </w:r>
      <w:r w:rsidR="007C15EE">
        <w:t xml:space="preserve"> as TEBAs </w:t>
      </w:r>
      <w:r w:rsidR="007C15EE">
        <w:rPr>
          <w:lang w:val="en-GB"/>
        </w:rPr>
        <w:t>can apply for a lower baseline decline rate</w:t>
      </w:r>
      <w:r w:rsidR="00B8778B">
        <w:rPr>
          <w:lang w:val="en-GB"/>
        </w:rPr>
        <w:t xml:space="preserve"> to </w:t>
      </w:r>
      <w:r w:rsidR="00070BBF">
        <w:rPr>
          <w:lang w:val="en-GB"/>
        </w:rPr>
        <w:t xml:space="preserve">further </w:t>
      </w:r>
      <w:r w:rsidR="007C15EE">
        <w:rPr>
          <w:lang w:val="en-GB"/>
        </w:rPr>
        <w:t xml:space="preserve">moderate </w:t>
      </w:r>
      <w:r w:rsidR="00B10119">
        <w:rPr>
          <w:lang w:val="en-GB"/>
        </w:rPr>
        <w:t xml:space="preserve">potential </w:t>
      </w:r>
      <w:r w:rsidR="00362365">
        <w:rPr>
          <w:lang w:val="en-GB"/>
        </w:rPr>
        <w:t>cost impact</w:t>
      </w:r>
      <w:r w:rsidR="00880087">
        <w:rPr>
          <w:lang w:val="en-GB"/>
        </w:rPr>
        <w:t>s</w:t>
      </w:r>
      <w:r w:rsidR="007C15EE">
        <w:rPr>
          <w:lang w:val="en-GB"/>
        </w:rPr>
        <w:t>.</w:t>
      </w:r>
      <w:r w:rsidR="00362365">
        <w:rPr>
          <w:lang w:val="en-GB"/>
        </w:rPr>
        <w:t xml:space="preserve"> </w:t>
      </w:r>
    </w:p>
    <w:p w14:paraId="2FF7ABBD" w14:textId="77777777" w:rsidR="00362365" w:rsidRDefault="00795DBA" w:rsidP="00362365">
      <w:r>
        <w:t>This</w:t>
      </w:r>
      <w:r w:rsidR="00362365">
        <w:t xml:space="preserve"> ‘discount’ will vary, depending on how impacted a particular facility is. The discount will start applying when the cost impact metric first exceeds 3</w:t>
      </w:r>
      <w:r>
        <w:t>%</w:t>
      </w:r>
      <w:r w:rsidR="00362365">
        <w:t xml:space="preserve"> and reach</w:t>
      </w:r>
      <w:r>
        <w:t>es</w:t>
      </w:r>
      <w:r w:rsidR="00362365">
        <w:t xml:space="preserve"> a maximum discount value when the metric </w:t>
      </w:r>
      <w:r w:rsidR="002F6FEA">
        <w:t>hits</w:t>
      </w:r>
      <w:r w:rsidR="00070BBF">
        <w:t xml:space="preserve"> </w:t>
      </w:r>
      <w:r w:rsidR="00362365">
        <w:t>8</w:t>
      </w:r>
      <w:r w:rsidR="00FC0EFB">
        <w:t>%</w:t>
      </w:r>
      <w:r w:rsidR="00362365">
        <w:t>. These percentages have been conservatively calibrated to minimise carbon leakage risks.</w:t>
      </w:r>
    </w:p>
    <w:p w14:paraId="4B844EB9" w14:textId="77777777" w:rsidR="00362365" w:rsidRDefault="00EA771F" w:rsidP="00362365">
      <w:r>
        <w:t xml:space="preserve">TEBA facilities’ baselines will still decline to ensure all facilities contribute to Australia’s emission reduction targets. </w:t>
      </w:r>
      <w:r w:rsidR="00362365">
        <w:t xml:space="preserve">The minimum baseline decline rate </w:t>
      </w:r>
      <w:r w:rsidR="00070BBF">
        <w:t xml:space="preserve">– </w:t>
      </w:r>
      <w:r w:rsidR="00362365">
        <w:t xml:space="preserve">for </w:t>
      </w:r>
      <w:r w:rsidR="00070BBF">
        <w:t>the most</w:t>
      </w:r>
      <w:r w:rsidR="009E43D3">
        <w:t xml:space="preserve"> </w:t>
      </w:r>
      <w:r w:rsidR="00070BBF">
        <w:t xml:space="preserve">impacted </w:t>
      </w:r>
      <w:r w:rsidR="00A80110">
        <w:t>TEBA</w:t>
      </w:r>
      <w:r w:rsidR="00362365">
        <w:t xml:space="preserve"> facilities </w:t>
      </w:r>
      <w:r w:rsidR="00070BBF">
        <w:t xml:space="preserve">– </w:t>
      </w:r>
      <w:r w:rsidR="00362365">
        <w:t>is 2</w:t>
      </w:r>
      <w:r w:rsidR="009E43D3">
        <w:t>%</w:t>
      </w:r>
      <w:r w:rsidR="00070BBF">
        <w:t>. This</w:t>
      </w:r>
      <w:r w:rsidR="00362365">
        <w:t xml:space="preserve"> </w:t>
      </w:r>
      <w:r w:rsidR="00070BBF">
        <w:t xml:space="preserve">is </w:t>
      </w:r>
      <w:r w:rsidR="00362365">
        <w:t xml:space="preserve">a 2.9 percentage point discount on the standard decline rate </w:t>
      </w:r>
      <w:r w:rsidR="00070BBF">
        <w:t xml:space="preserve">of </w:t>
      </w:r>
      <w:r w:rsidR="00362365">
        <w:t>4.9</w:t>
      </w:r>
      <w:r w:rsidR="009E43D3">
        <w:t>%</w:t>
      </w:r>
      <w:r w:rsidR="00362365">
        <w:t xml:space="preserve">. </w:t>
      </w:r>
    </w:p>
    <w:p w14:paraId="2DCCD99D" w14:textId="77777777" w:rsidR="00910E2E" w:rsidRDefault="00910E2E" w:rsidP="00362365">
      <w:r>
        <w:t xml:space="preserve">Applications for TEBA status are proposed to be due by </w:t>
      </w:r>
      <w:r w:rsidRPr="00B0701E">
        <w:t>31</w:t>
      </w:r>
      <w:r>
        <w:t> </w:t>
      </w:r>
      <w:r w:rsidRPr="00B0701E">
        <w:t>October</w:t>
      </w:r>
      <w:r>
        <w:t xml:space="preserve"> following the year for which the status is being sought, </w:t>
      </w:r>
      <w:r w:rsidR="00525D30">
        <w:t>with</w:t>
      </w:r>
      <w:r>
        <w:t xml:space="preserve"> decline rates </w:t>
      </w:r>
      <w:r w:rsidR="00525D30">
        <w:t xml:space="preserve">to be </w:t>
      </w:r>
      <w:r>
        <w:t xml:space="preserve">locked in for a </w:t>
      </w:r>
      <w:r w:rsidR="00376322">
        <w:t>3-</w:t>
      </w:r>
      <w:r>
        <w:t>year period.</w:t>
      </w:r>
    </w:p>
    <w:p w14:paraId="26C51DAD" w14:textId="77777777" w:rsidR="00CB76B1" w:rsidRPr="00CB76B1" w:rsidRDefault="00CB76B1" w:rsidP="00CB76B1">
      <w:pPr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val="en-GB" w:eastAsia="ja-JP"/>
        </w:rPr>
      </w:pPr>
      <w:bookmarkStart w:id="0" w:name="_Hlk122437538"/>
      <w:bookmarkStart w:id="1" w:name="_Toc122514452"/>
      <w:bookmarkStart w:id="2" w:name="_Toc122514582"/>
      <w:r w:rsidRPr="00CB76B1">
        <w:rPr>
          <w:rFonts w:ascii="Calibri" w:eastAsiaTheme="minorEastAsia" w:hAnsi="Calibri"/>
          <w:b/>
          <w:bCs/>
          <w:color w:val="197C7D" w:themeColor="text2"/>
          <w:sz w:val="28"/>
          <w:szCs w:val="28"/>
          <w:lang w:val="en-GB" w:eastAsia="ja-JP"/>
        </w:rPr>
        <w:t>Exploring additional policy options to address carbon leakage</w:t>
      </w:r>
      <w:bookmarkEnd w:id="0"/>
      <w:bookmarkEnd w:id="1"/>
      <w:bookmarkEnd w:id="2"/>
    </w:p>
    <w:p w14:paraId="73102DD1" w14:textId="06A16A41" w:rsidR="00B2537C" w:rsidRDefault="00CB76B1" w:rsidP="00B2537C">
      <w:pPr>
        <w:rPr>
          <w:lang w:val="en-GB"/>
        </w:rPr>
      </w:pPr>
      <w:r>
        <w:rPr>
          <w:lang w:val="en-GB"/>
        </w:rPr>
        <w:t xml:space="preserve">Many submissions to the previous consultation paper </w:t>
      </w:r>
      <w:r w:rsidR="00A661D1">
        <w:rPr>
          <w:lang w:val="en-GB"/>
        </w:rPr>
        <w:t xml:space="preserve">raised the issue of carbon leakage and </w:t>
      </w:r>
      <w:r>
        <w:rPr>
          <w:lang w:val="en-GB"/>
        </w:rPr>
        <w:t>suggested an Australian c</w:t>
      </w:r>
      <w:r w:rsidR="00B2537C">
        <w:rPr>
          <w:lang w:val="en-GB"/>
        </w:rPr>
        <w:t>arbon border adjustment mechanis</w:t>
      </w:r>
      <w:r>
        <w:rPr>
          <w:lang w:val="en-GB"/>
        </w:rPr>
        <w:t>m</w:t>
      </w:r>
      <w:r w:rsidR="00B2537C">
        <w:rPr>
          <w:lang w:val="en-GB"/>
        </w:rPr>
        <w:t xml:space="preserve"> (CBAM) </w:t>
      </w:r>
      <w:r>
        <w:rPr>
          <w:lang w:val="en-GB"/>
        </w:rPr>
        <w:t xml:space="preserve">could be a preferable way to manage carbon leakage in the medium to long term. CBAMs </w:t>
      </w:r>
      <w:r w:rsidR="00B2537C">
        <w:rPr>
          <w:lang w:val="en-GB"/>
        </w:rPr>
        <w:t>operate b</w:t>
      </w:r>
      <w:r w:rsidR="00FA37BD">
        <w:rPr>
          <w:lang w:val="en-GB"/>
        </w:rPr>
        <w:t xml:space="preserve">y imposing an import tariff </w:t>
      </w:r>
      <w:r w:rsidR="00B2537C">
        <w:rPr>
          <w:lang w:val="en-GB"/>
        </w:rPr>
        <w:t xml:space="preserve">or export rebate on trade with countries without an equivalent carbon constraint. </w:t>
      </w:r>
      <w:r w:rsidR="00BF1D49">
        <w:rPr>
          <w:lang w:val="en-GB"/>
        </w:rPr>
        <w:t xml:space="preserve">The European Union is developing a </w:t>
      </w:r>
      <w:r w:rsidR="00B2537C">
        <w:rPr>
          <w:lang w:val="en-GB"/>
        </w:rPr>
        <w:t>CBAM</w:t>
      </w:r>
      <w:r w:rsidR="00BF1D49">
        <w:rPr>
          <w:lang w:val="en-GB"/>
        </w:rPr>
        <w:t xml:space="preserve"> and other economies are considering it.</w:t>
      </w:r>
      <w:r w:rsidR="00AD5914">
        <w:rPr>
          <w:lang w:val="en-GB"/>
        </w:rPr>
        <w:t xml:space="preserve"> Designing such a mechanism </w:t>
      </w:r>
      <w:r w:rsidR="00256A72">
        <w:rPr>
          <w:lang w:val="en-GB"/>
        </w:rPr>
        <w:t xml:space="preserve">for Australia </w:t>
      </w:r>
      <w:r w:rsidR="00AD5914">
        <w:rPr>
          <w:lang w:val="en-GB"/>
        </w:rPr>
        <w:t xml:space="preserve">would be a complex </w:t>
      </w:r>
      <w:proofErr w:type="gramStart"/>
      <w:r w:rsidR="00AD5914">
        <w:rPr>
          <w:lang w:val="en-GB"/>
        </w:rPr>
        <w:t>task, and</w:t>
      </w:r>
      <w:proofErr w:type="gramEnd"/>
      <w:r w:rsidR="00AD5914">
        <w:rPr>
          <w:lang w:val="en-GB"/>
        </w:rPr>
        <w:t xml:space="preserve"> require careful calibration with our trading partners.</w:t>
      </w:r>
    </w:p>
    <w:p w14:paraId="4EBA9F10" w14:textId="77777777" w:rsidR="00544496" w:rsidRDefault="00CB76B1" w:rsidP="00544496">
      <w:pPr>
        <w:rPr>
          <w:lang w:val="en-GB"/>
        </w:rPr>
      </w:pPr>
      <w:r>
        <w:rPr>
          <w:lang w:val="en-GB"/>
        </w:rPr>
        <w:t>T</w:t>
      </w:r>
      <w:r w:rsidR="00FA37BD">
        <w:rPr>
          <w:lang w:val="en-GB"/>
        </w:rPr>
        <w:t>he</w:t>
      </w:r>
      <w:r w:rsidR="00243385">
        <w:t xml:space="preserve"> </w:t>
      </w:r>
      <w:r w:rsidR="00376322">
        <w:t>g</w:t>
      </w:r>
      <w:r w:rsidR="00243385">
        <w:t xml:space="preserve">overnment </w:t>
      </w:r>
      <w:r w:rsidR="009B168F">
        <w:t xml:space="preserve">will undertake a review commencing </w:t>
      </w:r>
      <w:r w:rsidR="009B168F" w:rsidDel="00262969">
        <w:t xml:space="preserve">in 2023 </w:t>
      </w:r>
      <w:r w:rsidR="009B168F">
        <w:t xml:space="preserve">to explore policy options to </w:t>
      </w:r>
      <w:r w:rsidR="00A661D1">
        <w:t>further address</w:t>
      </w:r>
      <w:r w:rsidR="009B168F">
        <w:t xml:space="preserve"> carbon leakage.</w:t>
      </w:r>
      <w:r w:rsidR="00544496">
        <w:rPr>
          <w:lang w:val="en-GB"/>
        </w:rPr>
        <w:t xml:space="preserve"> </w:t>
      </w:r>
      <w:r w:rsidR="00A661D1">
        <w:t xml:space="preserve">The review will consider CBAMs as one of the potential responses to carbon leakage that could complement Safeguard Mechanism reforms. </w:t>
      </w:r>
      <w:r w:rsidR="00544496">
        <w:rPr>
          <w:lang w:val="en-GB"/>
        </w:rPr>
        <w:t xml:space="preserve"> </w:t>
      </w:r>
    </w:p>
    <w:p w14:paraId="687517A1" w14:textId="77777777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6F186E20" w14:textId="77777777" w:rsidR="009973A5" w:rsidRDefault="000E7803" w:rsidP="00AB3115">
      <w:pPr>
        <w:rPr>
          <w:rStyle w:val="Strong"/>
        </w:rPr>
      </w:pPr>
      <w:r>
        <w:rPr>
          <w:lang w:eastAsia="ja-JP"/>
        </w:rPr>
        <w:t>Learn more about</w:t>
      </w:r>
      <w:r w:rsidR="009973A5">
        <w:rPr>
          <w:lang w:eastAsia="ja-JP"/>
        </w:rPr>
        <w:t xml:space="preserve"> the Safeguard Mechanism reforms at </w:t>
      </w:r>
      <w:hyperlink r:id="rId12" w:history="1">
        <w:r w:rsidR="000C25A5" w:rsidRPr="00AB3115">
          <w:rPr>
            <w:rStyle w:val="Hyperlink"/>
            <w:b/>
            <w:bCs/>
          </w:rPr>
          <w:t>https://consult.industry.gov.au/safeguard-mechanism-reform-consultation-paper</w:t>
        </w:r>
      </w:hyperlink>
      <w:r w:rsidR="000C25A5" w:rsidRPr="00AB3115">
        <w:rPr>
          <w:rStyle w:val="Hyperlink"/>
          <w:b/>
          <w:bCs/>
        </w:rPr>
        <w:t>.</w:t>
      </w:r>
    </w:p>
    <w:p w14:paraId="1745BE62" w14:textId="77777777" w:rsidR="00F21AF4" w:rsidRDefault="00F21AF4">
      <w:pPr>
        <w:pStyle w:val="Normalsmall"/>
      </w:pPr>
    </w:p>
    <w:sectPr w:rsidR="00F21AF4" w:rsidSect="00B2506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57C1" w14:textId="77777777" w:rsidR="00D00485" w:rsidRDefault="00D00485">
      <w:r>
        <w:separator/>
      </w:r>
    </w:p>
    <w:p w14:paraId="4D884A06" w14:textId="77777777" w:rsidR="00D00485" w:rsidRDefault="00D00485"/>
    <w:p w14:paraId="008CA9E4" w14:textId="77777777" w:rsidR="00D00485" w:rsidRDefault="00D00485"/>
  </w:endnote>
  <w:endnote w:type="continuationSeparator" w:id="0">
    <w:p w14:paraId="4D79E252" w14:textId="77777777" w:rsidR="00D00485" w:rsidRDefault="00D00485">
      <w:r>
        <w:continuationSeparator/>
      </w:r>
    </w:p>
    <w:p w14:paraId="57EC3E7D" w14:textId="77777777" w:rsidR="00D00485" w:rsidRDefault="00D00485"/>
    <w:p w14:paraId="1D2629B6" w14:textId="77777777" w:rsidR="00D00485" w:rsidRDefault="00D00485"/>
  </w:endnote>
  <w:endnote w:type="continuationNotice" w:id="1">
    <w:p w14:paraId="12B40706" w14:textId="77777777" w:rsidR="00D00485" w:rsidRDefault="00D00485">
      <w:pPr>
        <w:pStyle w:val="Footer"/>
      </w:pPr>
    </w:p>
    <w:p w14:paraId="1F7E3AFD" w14:textId="77777777" w:rsidR="00D00485" w:rsidRDefault="00D00485"/>
    <w:p w14:paraId="48A9AC2A" w14:textId="77777777" w:rsidR="00D00485" w:rsidRDefault="00D00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26BC" w14:textId="77777777" w:rsidR="000542B4" w:rsidRDefault="000542B4" w:rsidP="000542B4">
    <w:pPr>
      <w:pStyle w:val="Footer"/>
    </w:pPr>
    <w:r>
      <w:t xml:space="preserve">Department of </w:t>
    </w:r>
    <w:r w:rsidR="00EC4447">
      <w:t>Climate Change, Energy, the Environment and Water</w:t>
    </w:r>
  </w:p>
  <w:p w14:paraId="6E5FAAA0" w14:textId="77777777" w:rsidR="000542B4" w:rsidRDefault="002D5A07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D5914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43503" w14:textId="77777777" w:rsidR="000542B4" w:rsidRDefault="009C37F9" w:rsidP="00EC4447">
        <w:pPr>
          <w:pStyle w:val="Footer"/>
        </w:pPr>
        <w:r w:rsidRPr="007B1F92">
          <w:t xml:space="preserve">Department of </w:t>
        </w:r>
        <w:r w:rsidR="006371B7">
          <w:t>Climate Change, Energy, the Environment and Water</w:t>
        </w:r>
      </w:p>
      <w:p w14:paraId="4D428277" w14:textId="77777777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A54E" w14:textId="77777777" w:rsidR="00D00485" w:rsidRDefault="00D00485"/>
  </w:footnote>
  <w:footnote w:type="continuationSeparator" w:id="0">
    <w:p w14:paraId="39A0E7F2" w14:textId="77777777" w:rsidR="00D00485" w:rsidRDefault="00D00485">
      <w:r>
        <w:continuationSeparator/>
      </w:r>
    </w:p>
    <w:p w14:paraId="6CEEF1BF" w14:textId="77777777" w:rsidR="00D00485" w:rsidRDefault="00D00485"/>
    <w:p w14:paraId="25BD2D7D" w14:textId="77777777" w:rsidR="00D00485" w:rsidRDefault="00D00485"/>
  </w:footnote>
  <w:footnote w:type="continuationNotice" w:id="1">
    <w:p w14:paraId="0440E0FF" w14:textId="77777777" w:rsidR="00D00485" w:rsidRDefault="00D00485">
      <w:pPr>
        <w:pStyle w:val="Footer"/>
      </w:pPr>
    </w:p>
    <w:p w14:paraId="48043EE0" w14:textId="77777777" w:rsidR="00D00485" w:rsidRDefault="00D00485"/>
    <w:p w14:paraId="65ECDF9B" w14:textId="77777777" w:rsidR="00D00485" w:rsidRDefault="00D00485"/>
  </w:footnote>
  <w:footnote w:id="2">
    <w:p w14:paraId="64DA25A8" w14:textId="77777777" w:rsidR="00BD715F" w:rsidRDefault="00BD715F">
      <w:pPr>
        <w:pStyle w:val="FootnoteText"/>
      </w:pPr>
      <w:r>
        <w:rPr>
          <w:rStyle w:val="FootnoteReference"/>
        </w:rPr>
        <w:footnoteRef/>
      </w:r>
      <w:r>
        <w:t xml:space="preserve"> Trade share is calculated as the value of imports and exports, divided by the value of domestic production.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8F4E" w14:textId="77777777" w:rsidR="000542B4" w:rsidRDefault="00FC1233">
    <w:pPr>
      <w:pStyle w:val="Header"/>
    </w:pPr>
    <w:r w:rsidRPr="00FC1233">
      <w:t>Emissions-intensive, trade-exposed facilities</w:t>
    </w:r>
    <w:r w:rsidRPr="00FC1233" w:rsidDel="00FC123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D778" w14:textId="77777777" w:rsidR="000E455C" w:rsidRDefault="00F21AF4" w:rsidP="00036819">
    <w:pPr>
      <w:pStyle w:val="Foot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1EA023B" wp14:editId="0964388D">
          <wp:simplePos x="0" y="0"/>
          <wp:positionH relativeFrom="column">
            <wp:posOffset>-786765</wp:posOffset>
          </wp:positionH>
          <wp:positionV relativeFrom="page">
            <wp:posOffset>0</wp:posOffset>
          </wp:positionV>
          <wp:extent cx="7559675" cy="1633855"/>
          <wp:effectExtent l="0" t="0" r="3175" b="4445"/>
          <wp:wrapNone/>
          <wp:docPr id="1" name="Picture 1" descr="Department of Climate Change, Energy,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Climate Change, Energy,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275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C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42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B40A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6C21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42370E5"/>
    <w:multiLevelType w:val="hybridMultilevel"/>
    <w:tmpl w:val="983A7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8C10CA"/>
    <w:multiLevelType w:val="hybridMultilevel"/>
    <w:tmpl w:val="904668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E3402E6"/>
    <w:multiLevelType w:val="hybridMultilevel"/>
    <w:tmpl w:val="9EEA15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47AAA7EE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47AAA7EE"/>
    <w:numStyleLink w:val="Numberlist"/>
  </w:abstractNum>
  <w:abstractNum w:abstractNumId="18" w15:restartNumberingAfterBreak="0">
    <w:nsid w:val="2C6274CC"/>
    <w:multiLevelType w:val="hybridMultilevel"/>
    <w:tmpl w:val="2AAC50D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3BD81DEB"/>
    <w:multiLevelType w:val="hybridMultilevel"/>
    <w:tmpl w:val="7FEAC0D6"/>
    <w:lvl w:ilvl="0" w:tplc="6F14B9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4F4729"/>
    <w:multiLevelType w:val="multilevel"/>
    <w:tmpl w:val="A0241B28"/>
    <w:numStyleLink w:val="List1"/>
  </w:abstractNum>
  <w:abstractNum w:abstractNumId="22" w15:restartNumberingAfterBreak="0">
    <w:nsid w:val="437511A8"/>
    <w:multiLevelType w:val="hybridMultilevel"/>
    <w:tmpl w:val="3D5EA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11B6"/>
    <w:multiLevelType w:val="hybridMultilevel"/>
    <w:tmpl w:val="938E127C"/>
    <w:lvl w:ilvl="0" w:tplc="83C23DE2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6800B4"/>
    <w:multiLevelType w:val="multilevel"/>
    <w:tmpl w:val="A0241B28"/>
    <w:numStyleLink w:val="List1"/>
  </w:abstractNum>
  <w:abstractNum w:abstractNumId="2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159DC"/>
    <w:multiLevelType w:val="multilevel"/>
    <w:tmpl w:val="47AAA7EE"/>
    <w:numStyleLink w:val="Numberlist"/>
  </w:abstractNum>
  <w:abstractNum w:abstractNumId="27" w15:restartNumberingAfterBreak="0">
    <w:nsid w:val="4AD800A5"/>
    <w:multiLevelType w:val="hybridMultilevel"/>
    <w:tmpl w:val="89EC8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FE37F1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74CFC"/>
    <w:multiLevelType w:val="hybridMultilevel"/>
    <w:tmpl w:val="323CB4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303BF"/>
    <w:multiLevelType w:val="hybridMultilevel"/>
    <w:tmpl w:val="48CE9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0A6"/>
    <w:multiLevelType w:val="hybridMultilevel"/>
    <w:tmpl w:val="897AAF8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7" w15:restartNumberingAfterBreak="0">
    <w:nsid w:val="61164DD0"/>
    <w:multiLevelType w:val="hybridMultilevel"/>
    <w:tmpl w:val="FC281CCE"/>
    <w:lvl w:ilvl="0" w:tplc="0C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C090015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8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E0A34"/>
    <w:multiLevelType w:val="hybridMultilevel"/>
    <w:tmpl w:val="38743F72"/>
    <w:lvl w:ilvl="0" w:tplc="B5506130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C8C10A1"/>
    <w:multiLevelType w:val="multilevel"/>
    <w:tmpl w:val="47AAA7EE"/>
    <w:numStyleLink w:val="Numberlist"/>
  </w:abstractNum>
  <w:abstractNum w:abstractNumId="41" w15:restartNumberingAfterBreak="0">
    <w:nsid w:val="733934B7"/>
    <w:multiLevelType w:val="multilevel"/>
    <w:tmpl w:val="A0241B28"/>
    <w:numStyleLink w:val="List1"/>
  </w:abstractNum>
  <w:abstractNum w:abstractNumId="42" w15:restartNumberingAfterBreak="0">
    <w:nsid w:val="740F2477"/>
    <w:multiLevelType w:val="hybridMultilevel"/>
    <w:tmpl w:val="B5A8A5DE"/>
    <w:lvl w:ilvl="0" w:tplc="AA063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13"/>
  </w:num>
  <w:num w:numId="5">
    <w:abstractNumId w:val="35"/>
  </w:num>
  <w:num w:numId="6">
    <w:abstractNumId w:val="36"/>
  </w:num>
  <w:num w:numId="7">
    <w:abstractNumId w:val="10"/>
  </w:num>
  <w:num w:numId="8">
    <w:abstractNumId w:val="16"/>
  </w:num>
  <w:num w:numId="9">
    <w:abstractNumId w:val="19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3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"/>
  </w:num>
  <w:num w:numId="20">
    <w:abstractNumId w:val="0"/>
  </w:num>
  <w:num w:numId="21">
    <w:abstractNumId w:val="17"/>
  </w:num>
  <w:num w:numId="22">
    <w:abstractNumId w:val="26"/>
  </w:num>
  <w:num w:numId="23">
    <w:abstractNumId w:val="40"/>
  </w:num>
  <w:num w:numId="24">
    <w:abstractNumId w:val="15"/>
    <w:lvlOverride w:ilvl="0">
      <w:lvl w:ilvl="0">
        <w:start w:val="1"/>
        <w:numFmt w:val="decimal"/>
        <w:pStyle w:val="ListNumber"/>
        <w:lvlText w:val="%1)"/>
        <w:lvlJc w:val="left"/>
        <w:pPr>
          <w:ind w:left="2487" w:hanging="360"/>
        </w:p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ListNumber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2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9"/>
  </w:num>
  <w:num w:numId="29">
    <w:abstractNumId w:val="34"/>
  </w:num>
  <w:num w:numId="30">
    <w:abstractNumId w:val="12"/>
  </w:num>
  <w:num w:numId="31">
    <w:abstractNumId w:val="37"/>
  </w:num>
  <w:num w:numId="32">
    <w:abstractNumId w:val="9"/>
  </w:num>
  <w:num w:numId="33">
    <w:abstractNumId w:val="31"/>
  </w:num>
  <w:num w:numId="34">
    <w:abstractNumId w:val="28"/>
  </w:num>
  <w:num w:numId="35">
    <w:abstractNumId w:val="18"/>
  </w:num>
  <w:num w:numId="36">
    <w:abstractNumId w:val="11"/>
  </w:num>
  <w:num w:numId="37">
    <w:abstractNumId w:val="20"/>
  </w:num>
  <w:num w:numId="38">
    <w:abstractNumId w:val="22"/>
  </w:num>
  <w:num w:numId="39">
    <w:abstractNumId w:val="15"/>
  </w:num>
  <w:num w:numId="40">
    <w:abstractNumId w:val="30"/>
  </w:num>
  <w:num w:numId="41">
    <w:abstractNumId w:val="32"/>
  </w:num>
  <w:num w:numId="42">
    <w:abstractNumId w:val="23"/>
  </w:num>
  <w:num w:numId="43">
    <w:abstractNumId w:val="39"/>
  </w:num>
  <w:num w:numId="44">
    <w:abstractNumId w:val="2"/>
  </w:num>
  <w:num w:numId="45">
    <w:abstractNumId w:val="15"/>
  </w:num>
  <w:num w:numId="46">
    <w:abstractNumId w:val="42"/>
  </w:num>
  <w:num w:numId="47">
    <w:abstractNumId w:val="8"/>
  </w:num>
  <w:num w:numId="4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67"/>
    <w:rsid w:val="0000059E"/>
    <w:rsid w:val="0000066F"/>
    <w:rsid w:val="00001A84"/>
    <w:rsid w:val="0002149F"/>
    <w:rsid w:val="00021590"/>
    <w:rsid w:val="00025D1B"/>
    <w:rsid w:val="000266C4"/>
    <w:rsid w:val="00036819"/>
    <w:rsid w:val="00050116"/>
    <w:rsid w:val="000542B4"/>
    <w:rsid w:val="000618F3"/>
    <w:rsid w:val="00066D0B"/>
    <w:rsid w:val="00070BBF"/>
    <w:rsid w:val="000717D2"/>
    <w:rsid w:val="00074A56"/>
    <w:rsid w:val="00080827"/>
    <w:rsid w:val="0008277A"/>
    <w:rsid w:val="00087A85"/>
    <w:rsid w:val="000904C1"/>
    <w:rsid w:val="00091374"/>
    <w:rsid w:val="000913B5"/>
    <w:rsid w:val="000A5BA0"/>
    <w:rsid w:val="000B3924"/>
    <w:rsid w:val="000B3C44"/>
    <w:rsid w:val="000C0412"/>
    <w:rsid w:val="000C25A5"/>
    <w:rsid w:val="000C4558"/>
    <w:rsid w:val="000C5ECE"/>
    <w:rsid w:val="000E455C"/>
    <w:rsid w:val="000E522D"/>
    <w:rsid w:val="000E7803"/>
    <w:rsid w:val="000F0491"/>
    <w:rsid w:val="000F7919"/>
    <w:rsid w:val="001233A8"/>
    <w:rsid w:val="0013173D"/>
    <w:rsid w:val="00190D7E"/>
    <w:rsid w:val="001929D2"/>
    <w:rsid w:val="00193168"/>
    <w:rsid w:val="001A14AE"/>
    <w:rsid w:val="001A6968"/>
    <w:rsid w:val="001B4C5D"/>
    <w:rsid w:val="001B5B1B"/>
    <w:rsid w:val="001D0EF3"/>
    <w:rsid w:val="001D6373"/>
    <w:rsid w:val="001F6C6E"/>
    <w:rsid w:val="00203DE1"/>
    <w:rsid w:val="00212782"/>
    <w:rsid w:val="00220618"/>
    <w:rsid w:val="00237A69"/>
    <w:rsid w:val="00241BFB"/>
    <w:rsid w:val="00243385"/>
    <w:rsid w:val="00256A72"/>
    <w:rsid w:val="00275B58"/>
    <w:rsid w:val="00284B53"/>
    <w:rsid w:val="002857DD"/>
    <w:rsid w:val="00285BCE"/>
    <w:rsid w:val="002B1FAF"/>
    <w:rsid w:val="002D5A07"/>
    <w:rsid w:val="002E3FD4"/>
    <w:rsid w:val="002F4595"/>
    <w:rsid w:val="002F6FEA"/>
    <w:rsid w:val="00300AFD"/>
    <w:rsid w:val="003032C0"/>
    <w:rsid w:val="00310CEA"/>
    <w:rsid w:val="00336B60"/>
    <w:rsid w:val="0035108D"/>
    <w:rsid w:val="003569F9"/>
    <w:rsid w:val="00362365"/>
    <w:rsid w:val="00363386"/>
    <w:rsid w:val="00366721"/>
    <w:rsid w:val="00370990"/>
    <w:rsid w:val="00376322"/>
    <w:rsid w:val="0037698A"/>
    <w:rsid w:val="00392124"/>
    <w:rsid w:val="003937B8"/>
    <w:rsid w:val="0039724E"/>
    <w:rsid w:val="003C1478"/>
    <w:rsid w:val="003C35C2"/>
    <w:rsid w:val="003C5EA8"/>
    <w:rsid w:val="003D74B7"/>
    <w:rsid w:val="003E6E2A"/>
    <w:rsid w:val="003F2432"/>
    <w:rsid w:val="003F73D7"/>
    <w:rsid w:val="00411260"/>
    <w:rsid w:val="0041139E"/>
    <w:rsid w:val="00441C3E"/>
    <w:rsid w:val="00442630"/>
    <w:rsid w:val="0044304D"/>
    <w:rsid w:val="00446CB3"/>
    <w:rsid w:val="00474BB1"/>
    <w:rsid w:val="00480B3D"/>
    <w:rsid w:val="00495068"/>
    <w:rsid w:val="004C2DA2"/>
    <w:rsid w:val="004C5F8C"/>
    <w:rsid w:val="004D0888"/>
    <w:rsid w:val="004D0CAF"/>
    <w:rsid w:val="004D41BE"/>
    <w:rsid w:val="004E21DE"/>
    <w:rsid w:val="005019C1"/>
    <w:rsid w:val="00503E8C"/>
    <w:rsid w:val="00505DB6"/>
    <w:rsid w:val="00515287"/>
    <w:rsid w:val="005157CF"/>
    <w:rsid w:val="00517BDB"/>
    <w:rsid w:val="00525D30"/>
    <w:rsid w:val="00527EE7"/>
    <w:rsid w:val="00531B5A"/>
    <w:rsid w:val="00544496"/>
    <w:rsid w:val="005457EA"/>
    <w:rsid w:val="00553E9D"/>
    <w:rsid w:val="0055447F"/>
    <w:rsid w:val="00555BEE"/>
    <w:rsid w:val="00567DFC"/>
    <w:rsid w:val="00577F29"/>
    <w:rsid w:val="005A48A6"/>
    <w:rsid w:val="005B613F"/>
    <w:rsid w:val="005C2BFD"/>
    <w:rsid w:val="005D5BF1"/>
    <w:rsid w:val="005F59BC"/>
    <w:rsid w:val="005F5A87"/>
    <w:rsid w:val="006033BA"/>
    <w:rsid w:val="00605445"/>
    <w:rsid w:val="00607A21"/>
    <w:rsid w:val="00607A36"/>
    <w:rsid w:val="006156DF"/>
    <w:rsid w:val="00625D8D"/>
    <w:rsid w:val="006360F9"/>
    <w:rsid w:val="006371B7"/>
    <w:rsid w:val="00637A67"/>
    <w:rsid w:val="00640EDA"/>
    <w:rsid w:val="00642F36"/>
    <w:rsid w:val="00646917"/>
    <w:rsid w:val="00656587"/>
    <w:rsid w:val="00660B1A"/>
    <w:rsid w:val="0069066D"/>
    <w:rsid w:val="00696682"/>
    <w:rsid w:val="006B0030"/>
    <w:rsid w:val="006D413F"/>
    <w:rsid w:val="006F5142"/>
    <w:rsid w:val="006F6FE8"/>
    <w:rsid w:val="0070464B"/>
    <w:rsid w:val="00721291"/>
    <w:rsid w:val="007258B1"/>
    <w:rsid w:val="00725C8B"/>
    <w:rsid w:val="007322EE"/>
    <w:rsid w:val="00754CA3"/>
    <w:rsid w:val="0076549B"/>
    <w:rsid w:val="00793E18"/>
    <w:rsid w:val="00795DBA"/>
    <w:rsid w:val="007B6E66"/>
    <w:rsid w:val="007C0010"/>
    <w:rsid w:val="007C15EE"/>
    <w:rsid w:val="007E197D"/>
    <w:rsid w:val="007E69AF"/>
    <w:rsid w:val="008010E9"/>
    <w:rsid w:val="0080517C"/>
    <w:rsid w:val="00832638"/>
    <w:rsid w:val="008352B3"/>
    <w:rsid w:val="00865130"/>
    <w:rsid w:val="008755B4"/>
    <w:rsid w:val="00880087"/>
    <w:rsid w:val="008904EA"/>
    <w:rsid w:val="00892F53"/>
    <w:rsid w:val="008944CE"/>
    <w:rsid w:val="00895341"/>
    <w:rsid w:val="008B548B"/>
    <w:rsid w:val="008E173C"/>
    <w:rsid w:val="008E3B54"/>
    <w:rsid w:val="008F1712"/>
    <w:rsid w:val="008F382A"/>
    <w:rsid w:val="00900893"/>
    <w:rsid w:val="00902027"/>
    <w:rsid w:val="00902E92"/>
    <w:rsid w:val="0090743D"/>
    <w:rsid w:val="00910E2E"/>
    <w:rsid w:val="00911F4A"/>
    <w:rsid w:val="00916FC3"/>
    <w:rsid w:val="009336A4"/>
    <w:rsid w:val="009337B4"/>
    <w:rsid w:val="00940316"/>
    <w:rsid w:val="00943779"/>
    <w:rsid w:val="00956398"/>
    <w:rsid w:val="009641D2"/>
    <w:rsid w:val="00967494"/>
    <w:rsid w:val="00970743"/>
    <w:rsid w:val="00974CD6"/>
    <w:rsid w:val="009844EA"/>
    <w:rsid w:val="009973A5"/>
    <w:rsid w:val="00997572"/>
    <w:rsid w:val="009B168F"/>
    <w:rsid w:val="009C206F"/>
    <w:rsid w:val="009C37F9"/>
    <w:rsid w:val="009C3FA3"/>
    <w:rsid w:val="009C5CE4"/>
    <w:rsid w:val="009D7044"/>
    <w:rsid w:val="009E43D3"/>
    <w:rsid w:val="009F4025"/>
    <w:rsid w:val="00A022A9"/>
    <w:rsid w:val="00A04AFD"/>
    <w:rsid w:val="00A07FF0"/>
    <w:rsid w:val="00A130F7"/>
    <w:rsid w:val="00A2071B"/>
    <w:rsid w:val="00A32860"/>
    <w:rsid w:val="00A62F99"/>
    <w:rsid w:val="00A65D84"/>
    <w:rsid w:val="00A661D1"/>
    <w:rsid w:val="00A7755E"/>
    <w:rsid w:val="00A77E8E"/>
    <w:rsid w:val="00A80110"/>
    <w:rsid w:val="00A81576"/>
    <w:rsid w:val="00A8157A"/>
    <w:rsid w:val="00A9225D"/>
    <w:rsid w:val="00AA1D89"/>
    <w:rsid w:val="00AA381B"/>
    <w:rsid w:val="00AB1CB5"/>
    <w:rsid w:val="00AB3115"/>
    <w:rsid w:val="00AD5914"/>
    <w:rsid w:val="00AD69AC"/>
    <w:rsid w:val="00AE1E6E"/>
    <w:rsid w:val="00AE4763"/>
    <w:rsid w:val="00B0121B"/>
    <w:rsid w:val="00B03FF6"/>
    <w:rsid w:val="00B0455B"/>
    <w:rsid w:val="00B0701E"/>
    <w:rsid w:val="00B10119"/>
    <w:rsid w:val="00B11E02"/>
    <w:rsid w:val="00B22418"/>
    <w:rsid w:val="00B2506E"/>
    <w:rsid w:val="00B2537C"/>
    <w:rsid w:val="00B3476F"/>
    <w:rsid w:val="00B43568"/>
    <w:rsid w:val="00B82095"/>
    <w:rsid w:val="00B82347"/>
    <w:rsid w:val="00B8778B"/>
    <w:rsid w:val="00B90975"/>
    <w:rsid w:val="00B90C93"/>
    <w:rsid w:val="00B93571"/>
    <w:rsid w:val="00B94CBD"/>
    <w:rsid w:val="00BA2806"/>
    <w:rsid w:val="00BC321A"/>
    <w:rsid w:val="00BD4F8E"/>
    <w:rsid w:val="00BD715F"/>
    <w:rsid w:val="00BE345B"/>
    <w:rsid w:val="00BF1A2A"/>
    <w:rsid w:val="00BF1D49"/>
    <w:rsid w:val="00BF3F66"/>
    <w:rsid w:val="00BF4232"/>
    <w:rsid w:val="00BF6243"/>
    <w:rsid w:val="00C27AFA"/>
    <w:rsid w:val="00C6128D"/>
    <w:rsid w:val="00C73278"/>
    <w:rsid w:val="00C765C8"/>
    <w:rsid w:val="00C82029"/>
    <w:rsid w:val="00C9283A"/>
    <w:rsid w:val="00C931AC"/>
    <w:rsid w:val="00C95039"/>
    <w:rsid w:val="00CA4615"/>
    <w:rsid w:val="00CA7C6F"/>
    <w:rsid w:val="00CB1B22"/>
    <w:rsid w:val="00CB76B1"/>
    <w:rsid w:val="00CD3A6F"/>
    <w:rsid w:val="00CD6263"/>
    <w:rsid w:val="00CE7F36"/>
    <w:rsid w:val="00CF7D08"/>
    <w:rsid w:val="00D00485"/>
    <w:rsid w:val="00D00E05"/>
    <w:rsid w:val="00D04A3C"/>
    <w:rsid w:val="00D22097"/>
    <w:rsid w:val="00D36C41"/>
    <w:rsid w:val="00D4039B"/>
    <w:rsid w:val="00D47430"/>
    <w:rsid w:val="00D47D00"/>
    <w:rsid w:val="00D55A85"/>
    <w:rsid w:val="00D750D0"/>
    <w:rsid w:val="00D80AAC"/>
    <w:rsid w:val="00D87480"/>
    <w:rsid w:val="00DA7636"/>
    <w:rsid w:val="00DB71FD"/>
    <w:rsid w:val="00DC453F"/>
    <w:rsid w:val="00DC57F0"/>
    <w:rsid w:val="00DE47C0"/>
    <w:rsid w:val="00DE546F"/>
    <w:rsid w:val="00DF241E"/>
    <w:rsid w:val="00E06E0F"/>
    <w:rsid w:val="00E25A07"/>
    <w:rsid w:val="00E333DF"/>
    <w:rsid w:val="00E34746"/>
    <w:rsid w:val="00E44E91"/>
    <w:rsid w:val="00E5090F"/>
    <w:rsid w:val="00E62552"/>
    <w:rsid w:val="00E83C41"/>
    <w:rsid w:val="00E9503E"/>
    <w:rsid w:val="00E9781D"/>
    <w:rsid w:val="00EA5D76"/>
    <w:rsid w:val="00EA771F"/>
    <w:rsid w:val="00EB4727"/>
    <w:rsid w:val="00EC2925"/>
    <w:rsid w:val="00EC4447"/>
    <w:rsid w:val="00EC5579"/>
    <w:rsid w:val="00EC5C40"/>
    <w:rsid w:val="00ED5E56"/>
    <w:rsid w:val="00ED774B"/>
    <w:rsid w:val="00EE0118"/>
    <w:rsid w:val="00EE031E"/>
    <w:rsid w:val="00EE49CE"/>
    <w:rsid w:val="00EE7C8D"/>
    <w:rsid w:val="00EF24B1"/>
    <w:rsid w:val="00EF3918"/>
    <w:rsid w:val="00F16692"/>
    <w:rsid w:val="00F21AF4"/>
    <w:rsid w:val="00F25175"/>
    <w:rsid w:val="00F330C3"/>
    <w:rsid w:val="00F40745"/>
    <w:rsid w:val="00F53EB6"/>
    <w:rsid w:val="00F75F33"/>
    <w:rsid w:val="00F768E5"/>
    <w:rsid w:val="00F84236"/>
    <w:rsid w:val="00F85A60"/>
    <w:rsid w:val="00F9536E"/>
    <w:rsid w:val="00FA37BD"/>
    <w:rsid w:val="00FB0EB3"/>
    <w:rsid w:val="00FB76BD"/>
    <w:rsid w:val="00FC0EFB"/>
    <w:rsid w:val="00FC1233"/>
    <w:rsid w:val="00FC2CE4"/>
    <w:rsid w:val="00FC379E"/>
    <w:rsid w:val="00FD337C"/>
    <w:rsid w:val="00FD3BAE"/>
    <w:rsid w:val="00FD5236"/>
    <w:rsid w:val="00FD7D5B"/>
    <w:rsid w:val="00FE0F23"/>
    <w:rsid w:val="00FE2A8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869B47"/>
  <w15:docId w15:val="{C16BAE2C-41AD-46D1-B829-D3C5F85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73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B2506E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B2506E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197C7D" w:themeColor="text2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2506E"/>
    <w:rPr>
      <w:rFonts w:ascii="Calibri" w:eastAsiaTheme="minorHAnsi" w:hAnsi="Calibri" w:cstheme="minorBidi"/>
      <w:b/>
      <w:bCs/>
      <w:color w:val="083A42" w:themeColor="text1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2506E"/>
    <w:rPr>
      <w:rFonts w:ascii="Calibri" w:eastAsiaTheme="minorEastAsia" w:hAnsi="Calibri" w:cstheme="minorBidi"/>
      <w:b/>
      <w:bCs/>
      <w:color w:val="197C7D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45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241BFB"/>
    <w:pPr>
      <w:numPr>
        <w:ilvl w:val="1"/>
        <w:numId w:val="45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B2506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A14AE"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83A42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083A42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F21AF4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F21AF4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B2506E"/>
    <w:pPr>
      <w:spacing w:before="120" w:after="120"/>
    </w:pPr>
    <w:rPr>
      <w:rFonts w:asciiTheme="minorHAnsi" w:eastAsiaTheme="minorHAnsi" w:hAnsiTheme="minorHAnsi" w:cstheme="minorBidi"/>
      <w:b/>
      <w:i/>
      <w:color w:val="197C7D" w:themeColor="text2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1D6373"/>
    <w:pPr>
      <w:numPr>
        <w:ilvl w:val="2"/>
        <w:numId w:val="45"/>
      </w:numPr>
      <w:spacing w:before="120" w:after="120" w:line="264" w:lineRule="auto"/>
      <w:ind w:left="1247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 para,Recommendation,numbered,列出段落,列出段落1"/>
    <w:basedOn w:val="Normal"/>
    <w:link w:val="ListParagraphChar"/>
    <w:uiPriority w:val="34"/>
    <w:qFormat/>
    <w:rsid w:val="004C5F8C"/>
    <w:pPr>
      <w:ind w:left="720"/>
      <w:contextualSpacing/>
    </w:p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locked/>
    <w:rsid w:val="002857DD"/>
    <w:rPr>
      <w:rFonts w:asciiTheme="majorHAnsi" w:eastAsiaTheme="minorHAnsi" w:hAnsiTheme="maj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industry.gov.au/safeguard-mechanism-reform-consultation-pap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CCEEW">
      <a:dk1>
        <a:srgbClr val="083A42"/>
      </a:dk1>
      <a:lt1>
        <a:srgbClr val="F5FFF5"/>
      </a:lt1>
      <a:dk2>
        <a:srgbClr val="197C7D"/>
      </a:dk2>
      <a:lt2>
        <a:srgbClr val="FFFFFF"/>
      </a:lt2>
      <a:accent1>
        <a:srgbClr val="083A42"/>
      </a:accent1>
      <a:accent2>
        <a:srgbClr val="197C7D"/>
      </a:accent2>
      <a:accent3>
        <a:srgbClr val="9AFFBE"/>
      </a:accent3>
      <a:accent4>
        <a:srgbClr val="F5FFF5"/>
      </a:accent4>
      <a:accent5>
        <a:srgbClr val="D8D8D8"/>
      </a:accent5>
      <a:accent6>
        <a:srgbClr val="191919"/>
      </a:accent6>
      <a:hlink>
        <a:srgbClr val="083A42"/>
      </a:hlink>
      <a:folHlink>
        <a:srgbClr val="33333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86DFDE75994F940B8C539C91BA04" ma:contentTypeVersion="14" ma:contentTypeDescription="Create a new document." ma:contentTypeScope="" ma:versionID="4141dd26a2ffeb935ee6c41f54aa8c3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35a4915c153d951265893df6741f4417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378</Value>
      <Value>3</Value>
    </TaxCatchAll>
    <Comments xmlns="http://schemas.microsoft.com/sharepoint/v3">Cleared by office
</Commen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DFE43F57-FBB7-441C-BF71-7D1FDDD91C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21B79-E983-4199-A3A2-AD39734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openxmlformats.org/package/2006/metadata/core-properties"/>
    <ds:schemaRef ds:uri="8c4c6479-bb6a-4263-8159-fbb0afc5d491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4"/>
    <ds:schemaRef ds:uri="a36bd50b-1532-4c22-b385-5c082c96093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3F83ABD-A631-4BEB-B785-5803DA7C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4985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Garrett, Andrew</dc:creator>
  <cp:lastModifiedBy>Jones, Kayleigh</cp:lastModifiedBy>
  <cp:revision>8</cp:revision>
  <cp:lastPrinted>2022-05-11T23:44:00Z</cp:lastPrinted>
  <dcterms:created xsi:type="dcterms:W3CDTF">2023-01-06T22:45:00Z</dcterms:created>
  <dcterms:modified xsi:type="dcterms:W3CDTF">2023-01-09T05:03:00Z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0x0101005BC986DFDE75994F940B8C539C91BA04</vt:lpwstr>
  </property>
  <property fmtid="{D5CDD505-2E9C-101B-9397-08002B2CF9AE}" pid="3" name="DocHub_Year">
    <vt:lpwstr/>
  </property>
  <property fmtid="{D5CDD505-2E9C-101B-9397-08002B2CF9AE}" pid="4" name="DocHub_DocumentType">
    <vt:lpwstr>378;#Fact Sheet|38af007d-6d80-4dd0-9833-ef17489d7c7e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